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19" w:rsidRPr="00CB3158" w:rsidRDefault="00983119" w:rsidP="00983119">
      <w:pPr>
        <w:adjustRightInd w:val="0"/>
        <w:snapToGrid w:val="0"/>
        <w:rPr>
          <w:rFonts w:ascii="標楷體" w:eastAsia="標楷體" w:hAnsi="標楷體"/>
        </w:rPr>
      </w:pPr>
      <w:r w:rsidRPr="00CB3158">
        <w:rPr>
          <w:rFonts w:ascii="標楷體" w:eastAsia="標楷體" w:hAnsi="標楷體" w:hint="eastAsia"/>
        </w:rPr>
        <w:t xml:space="preserve">                                              </w:t>
      </w:r>
      <w:bookmarkStart w:id="0" w:name="_GoBack"/>
      <w:bookmarkEnd w:id="0"/>
    </w:p>
    <w:p w:rsidR="00983119" w:rsidRPr="00FF6502" w:rsidRDefault="00983119" w:rsidP="00983119">
      <w:pPr>
        <w:adjustRightInd w:val="0"/>
        <w:snapToGrid w:val="0"/>
        <w:jc w:val="center"/>
        <w:rPr>
          <w:color w:val="C00000"/>
        </w:rPr>
      </w:pPr>
      <w:r>
        <w:rPr>
          <w:rFonts w:eastAsia="標楷體" w:hAnsi="標楷體" w:hint="eastAsia"/>
          <w:color w:val="C00000"/>
          <w:sz w:val="28"/>
        </w:rPr>
        <w:t>設計階段</w:t>
      </w:r>
      <w:r>
        <w:rPr>
          <w:rFonts w:eastAsia="標楷體" w:hAnsi="標楷體" w:hint="eastAsia"/>
          <w:color w:val="C00000"/>
          <w:sz w:val="28"/>
        </w:rPr>
        <w:t>-</w:t>
      </w:r>
      <w:r>
        <w:rPr>
          <w:rFonts w:eastAsia="標楷體" w:hAnsi="標楷體" w:hint="eastAsia"/>
          <w:color w:val="C00000"/>
          <w:sz w:val="28"/>
        </w:rPr>
        <w:t>工程</w:t>
      </w:r>
      <w:r w:rsidRPr="00FF6502">
        <w:rPr>
          <w:rFonts w:eastAsia="標楷體" w:hAnsi="標楷體" w:hint="eastAsia"/>
          <w:color w:val="C00000"/>
          <w:sz w:val="28"/>
        </w:rPr>
        <w:t>友善</w:t>
      </w:r>
      <w:r>
        <w:rPr>
          <w:rFonts w:eastAsia="標楷體" w:hAnsi="標楷體" w:hint="eastAsia"/>
          <w:color w:val="C00000"/>
          <w:sz w:val="28"/>
        </w:rPr>
        <w:t>設計</w:t>
      </w:r>
      <w:r w:rsidRPr="00FF6502">
        <w:rPr>
          <w:rFonts w:eastAsia="標楷體" w:hAnsi="標楷體" w:hint="eastAsia"/>
          <w:color w:val="C00000"/>
          <w:sz w:val="28"/>
        </w:rPr>
        <w:t>檢核表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73"/>
        <w:gridCol w:w="716"/>
        <w:gridCol w:w="275"/>
        <w:gridCol w:w="62"/>
        <w:gridCol w:w="80"/>
        <w:gridCol w:w="2490"/>
        <w:gridCol w:w="621"/>
        <w:gridCol w:w="355"/>
        <w:gridCol w:w="1197"/>
        <w:gridCol w:w="535"/>
        <w:gridCol w:w="660"/>
        <w:gridCol w:w="1291"/>
      </w:tblGrid>
      <w:tr w:rsidR="00983119" w:rsidRPr="00CB3158" w:rsidTr="00801D9D">
        <w:trPr>
          <w:trHeight w:val="108"/>
        </w:trPr>
        <w:tc>
          <w:tcPr>
            <w:tcW w:w="16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eastAsia="標楷體" w:hint="eastAsia"/>
                <w:sz w:val="20"/>
                <w:szCs w:val="20"/>
              </w:rPr>
              <w:t>工程執行機關</w:t>
            </w:r>
          </w:p>
        </w:tc>
        <w:tc>
          <w:tcPr>
            <w:tcW w:w="3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設計單位</w:t>
            </w: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rPr>
                <w:sz w:val="20"/>
                <w:szCs w:val="20"/>
              </w:rPr>
            </w:pPr>
          </w:p>
        </w:tc>
      </w:tr>
      <w:tr w:rsidR="00983119" w:rsidRPr="00CB3158" w:rsidTr="00801D9D">
        <w:trPr>
          <w:trHeight w:val="162"/>
        </w:trPr>
        <w:tc>
          <w:tcPr>
            <w:tcW w:w="16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eastAsia="標楷體" w:hAnsi="標楷體"/>
                <w:sz w:val="20"/>
                <w:szCs w:val="20"/>
              </w:rPr>
              <w:t>工程名稱</w:t>
            </w:r>
          </w:p>
        </w:tc>
        <w:tc>
          <w:tcPr>
            <w:tcW w:w="3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縣市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/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鄉鎮</w:t>
            </w: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rPr>
                <w:sz w:val="20"/>
                <w:szCs w:val="20"/>
              </w:rPr>
            </w:pPr>
          </w:p>
        </w:tc>
      </w:tr>
      <w:tr w:rsidR="00983119" w:rsidRPr="00CB3158" w:rsidTr="00801D9D">
        <w:trPr>
          <w:trHeight w:val="162"/>
        </w:trPr>
        <w:tc>
          <w:tcPr>
            <w:tcW w:w="16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工區</w:t>
            </w:r>
          </w:p>
        </w:tc>
        <w:tc>
          <w:tcPr>
            <w:tcW w:w="3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工區坐標</w:t>
            </w: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180" w:lineRule="exact"/>
              <w:rPr>
                <w:sz w:val="20"/>
                <w:szCs w:val="20"/>
              </w:rPr>
            </w:pPr>
          </w:p>
        </w:tc>
      </w:tr>
      <w:tr w:rsidR="00983119" w:rsidRPr="00CB3158" w:rsidTr="00801D9D">
        <w:trPr>
          <w:trHeight w:val="142"/>
        </w:trPr>
        <w:tc>
          <w:tcPr>
            <w:tcW w:w="16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災害概述</w:t>
            </w:r>
          </w:p>
        </w:tc>
        <w:tc>
          <w:tcPr>
            <w:tcW w:w="71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rPr>
                <w:sz w:val="20"/>
                <w:szCs w:val="20"/>
              </w:rPr>
            </w:pPr>
          </w:p>
        </w:tc>
      </w:tr>
      <w:tr w:rsidR="00983119" w:rsidRPr="00CB3158" w:rsidTr="00801D9D">
        <w:trPr>
          <w:trHeight w:val="50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生態情報處理與友善措施</w:t>
            </w:r>
          </w:p>
        </w:tc>
        <w:tc>
          <w:tcPr>
            <w:tcW w:w="4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關注議題或保護對象</w:t>
            </w:r>
          </w:p>
        </w:tc>
        <w:tc>
          <w:tcPr>
            <w:tcW w:w="2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資訊來源(可複選)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處理方式(可複選)</w:t>
            </w:r>
          </w:p>
        </w:tc>
      </w:tr>
      <w:tr w:rsidR="00983119" w:rsidRPr="00CB3158" w:rsidTr="00801D9D">
        <w:trPr>
          <w:trHeight w:val="368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1" w:left="-5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CB3158">
              <w:rPr>
                <w:rFonts w:eastAsia="標楷體" w:hAnsi="標楷體" w:hint="eastAsia"/>
                <w:sz w:val="18"/>
                <w:szCs w:val="18"/>
              </w:rPr>
              <w:t>棲地</w:t>
            </w:r>
          </w:p>
          <w:p w:rsidR="00983119" w:rsidRPr="00CB3158" w:rsidRDefault="00983119" w:rsidP="00801D9D">
            <w:pPr>
              <w:adjustRightInd w:val="0"/>
              <w:snapToGrid w:val="0"/>
              <w:ind w:leftChars="-21" w:left="-5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CB3158">
              <w:rPr>
                <w:rFonts w:eastAsia="標楷體" w:hAnsi="標楷體" w:hint="eastAsia"/>
                <w:sz w:val="18"/>
                <w:szCs w:val="18"/>
              </w:rPr>
              <w:t>(</w:t>
            </w:r>
            <w:r w:rsidRPr="00CB3158">
              <w:rPr>
                <w:rFonts w:eastAsia="標楷體" w:hAnsi="標楷體" w:hint="eastAsia"/>
                <w:sz w:val="18"/>
                <w:szCs w:val="18"/>
              </w:rPr>
              <w:t>保護區或關注區</w:t>
            </w:r>
            <w:r w:rsidRPr="00CB3158">
              <w:rPr>
                <w:rFonts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3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  <w:u w:val="single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                  </w:t>
            </w:r>
          </w:p>
          <w:p w:rsidR="00983119" w:rsidRPr="00CB3158" w:rsidRDefault="00983119" w:rsidP="00801D9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  <w:u w:val="single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                  </w:t>
            </w:r>
          </w:p>
          <w:p w:rsidR="00983119" w:rsidRPr="00CB3158" w:rsidRDefault="00983119" w:rsidP="00801D9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            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，□無</w:t>
            </w:r>
          </w:p>
        </w:tc>
        <w:tc>
          <w:tcPr>
            <w:tcW w:w="2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□機關□生態團隊</w:t>
            </w:r>
          </w:p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□媒體□民眾</w:t>
            </w:r>
          </w:p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□其他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 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□依法申請，□生態友善措施，□專業諮詢，□民眾參與，□其他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</w:t>
            </w:r>
          </w:p>
        </w:tc>
      </w:tr>
      <w:tr w:rsidR="00983119" w:rsidRPr="00CB3158" w:rsidTr="00801D9D">
        <w:trPr>
          <w:trHeight w:val="545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物種</w:t>
            </w:r>
          </w:p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含文物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  <w:u w:val="single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                  </w:t>
            </w:r>
          </w:p>
          <w:p w:rsidR="00983119" w:rsidRPr="00CB3158" w:rsidRDefault="00983119" w:rsidP="00801D9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  <w:u w:val="single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                  </w:t>
            </w:r>
          </w:p>
          <w:p w:rsidR="00983119" w:rsidRPr="00CB3158" w:rsidRDefault="00983119" w:rsidP="00801D9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            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，□無</w:t>
            </w:r>
          </w:p>
        </w:tc>
        <w:tc>
          <w:tcPr>
            <w:tcW w:w="2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□機關□生態團隊</w:t>
            </w:r>
          </w:p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□媒體□民眾</w:t>
            </w:r>
          </w:p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□其他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 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□生態友善措施，□專業諮詢，□民眾參與，□其他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</w:t>
            </w:r>
          </w:p>
        </w:tc>
      </w:tr>
      <w:tr w:rsidR="00983119" w:rsidRPr="00CB3158" w:rsidTr="00801D9D"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生態友善措施</w:t>
            </w:r>
          </w:p>
        </w:tc>
        <w:tc>
          <w:tcPr>
            <w:tcW w:w="2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設計項目及說明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列入預算書圖</w:t>
            </w:r>
          </w:p>
        </w:tc>
      </w:tr>
      <w:tr w:rsidR="00983119" w:rsidRPr="00CB3158" w:rsidTr="00801D9D">
        <w:trPr>
          <w:trHeight w:val="460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迴避</w:t>
            </w:r>
          </w:p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2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A6A6A6" w:themeColor="background1" w:themeShade="A6"/>
                <w:sz w:val="16"/>
                <w:szCs w:val="16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就上述棲地及物種情報，逐一提出對應之迴避措施，含暫緩及替代方案。</w:t>
            </w:r>
          </w:p>
        </w:tc>
        <w:tc>
          <w:tcPr>
            <w:tcW w:w="2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如避開生態保護對象或生態敏感區域、施工過程避開動物大量遷徙或繁殖時間</w:t>
            </w:r>
            <w:r w:rsidRPr="00CB3158"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  <w:t>…</w:t>
            </w: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等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  <w:u w:val="single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□是，圖號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</w:t>
            </w:r>
          </w:p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□否</w:t>
            </w:r>
            <w:proofErr w:type="gramEnd"/>
          </w:p>
        </w:tc>
      </w:tr>
      <w:tr w:rsidR="00983119" w:rsidRPr="00CB3158" w:rsidTr="00801D9D">
        <w:trPr>
          <w:trHeight w:val="445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縮小</w:t>
            </w:r>
          </w:p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（B）</w:t>
            </w:r>
          </w:p>
        </w:tc>
        <w:tc>
          <w:tcPr>
            <w:tcW w:w="2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180" w:lineRule="exact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就上述棲地及物種情報，逐一提出對應之縮小工程量體，降低環境影響之措施。</w:t>
            </w:r>
          </w:p>
        </w:tc>
        <w:tc>
          <w:tcPr>
            <w:tcW w:w="2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如開挖範圍、土方暫置區及施工便道最小化</w:t>
            </w:r>
            <w:r w:rsidRPr="00CB3158"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  <w:t>…</w:t>
            </w: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等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  <w:u w:val="single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□是，圖號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</w:t>
            </w:r>
          </w:p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□否</w:t>
            </w:r>
            <w:proofErr w:type="gramEnd"/>
          </w:p>
        </w:tc>
      </w:tr>
      <w:tr w:rsidR="00983119" w:rsidRPr="00CB3158" w:rsidTr="00801D9D">
        <w:trPr>
          <w:trHeight w:val="459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減輕</w:t>
            </w:r>
          </w:p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（C）</w:t>
            </w:r>
          </w:p>
        </w:tc>
        <w:tc>
          <w:tcPr>
            <w:tcW w:w="2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180" w:lineRule="exact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就上述棲地及物種情報，逐一提出對應之減輕環境生態衝擊之措施。</w:t>
            </w:r>
          </w:p>
        </w:tc>
        <w:tc>
          <w:tcPr>
            <w:tcW w:w="2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如動物通道建置、</w:t>
            </w:r>
            <w:proofErr w:type="gramStart"/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減少壩體</w:t>
            </w:r>
            <w:proofErr w:type="gramEnd"/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與河床落差、資材自然化、就地取材</w:t>
            </w:r>
            <w:r w:rsidRPr="00CB3158"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  <w:t>…</w:t>
            </w: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等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  <w:u w:val="single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□是，圖號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</w:t>
            </w:r>
          </w:p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□否</w:t>
            </w:r>
            <w:proofErr w:type="gramEnd"/>
          </w:p>
        </w:tc>
      </w:tr>
      <w:tr w:rsidR="00983119" w:rsidRPr="00CB3158" w:rsidTr="00801D9D">
        <w:trPr>
          <w:trHeight w:val="330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補償</w:t>
            </w:r>
          </w:p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（D）</w:t>
            </w:r>
          </w:p>
        </w:tc>
        <w:tc>
          <w:tcPr>
            <w:tcW w:w="2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就上述棲地及物種情報，逐一提出對應之補償重要生態損失之措施。</w:t>
            </w:r>
          </w:p>
        </w:tc>
        <w:tc>
          <w:tcPr>
            <w:tcW w:w="2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  <w:proofErr w:type="gramStart"/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如植生復</w:t>
            </w:r>
            <w:proofErr w:type="gramEnd"/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育、重建相似生態環境</w:t>
            </w:r>
            <w:r w:rsidRPr="00CB3158"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  <w:t>…</w:t>
            </w: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等措施。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□是，圖號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</w:t>
            </w:r>
          </w:p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□否</w:t>
            </w:r>
            <w:proofErr w:type="gramEnd"/>
          </w:p>
        </w:tc>
      </w:tr>
      <w:tr w:rsidR="00983119" w:rsidRPr="00CB3158" w:rsidTr="00801D9D">
        <w:trPr>
          <w:trHeight w:val="60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br w:type="page"/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棲地</w:t>
            </w:r>
          </w:p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現況生態友善措施</w:t>
            </w:r>
          </w:p>
        </w:tc>
        <w:tc>
          <w:tcPr>
            <w:tcW w:w="36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E.確認生態保護對象(如巨石、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樹島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、大樹、岩盤、文物等)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983119" w:rsidRPr="00CB3158" w:rsidTr="00801D9D">
        <w:trPr>
          <w:trHeight w:val="9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jc w:val="center"/>
            </w:pPr>
          </w:p>
        </w:tc>
        <w:tc>
          <w:tcPr>
            <w:tcW w:w="36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Chars="-28" w:left="1" w:hangingChars="34" w:hanging="68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□已納入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A </w:t>
            </w:r>
          </w:p>
        </w:tc>
      </w:tr>
      <w:tr w:rsidR="00983119" w:rsidRPr="00CB3158" w:rsidTr="00801D9D">
        <w:trPr>
          <w:trHeight w:val="13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F.保留原本陸域環境(含森林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及濱溪植被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等)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983119" w:rsidRPr="00CB3158" w:rsidTr="00801D9D">
        <w:trPr>
          <w:trHeight w:val="210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Chars="-28" w:left="1" w:hangingChars="34" w:hanging="68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□已納入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A </w:t>
            </w:r>
          </w:p>
        </w:tc>
      </w:tr>
      <w:tr w:rsidR="00983119" w:rsidRPr="00CB3158" w:rsidTr="00801D9D">
        <w:trPr>
          <w:trHeight w:val="25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G.保留原本水域環境(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含溪床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底質、深潭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及淺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瀨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、不整平溪床</w:t>
            </w:r>
            <w:r w:rsidRPr="001A7371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、不全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面</w:t>
            </w:r>
            <w:r w:rsidRPr="001A7371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封底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等)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983119" w:rsidRPr="00CB3158" w:rsidTr="00801D9D">
        <w:trPr>
          <w:trHeight w:val="25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Chars="-28" w:left="1" w:hangingChars="34" w:hanging="68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□已納入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A </w:t>
            </w:r>
          </w:p>
        </w:tc>
      </w:tr>
      <w:tr w:rsidR="00983119" w:rsidRPr="00CB3158" w:rsidTr="00801D9D">
        <w:trPr>
          <w:trHeight w:val="31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H.工區範圍以最小利用為原則，並於設計圖明確標示。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/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983119" w:rsidRPr="00CB3158" w:rsidTr="00801D9D">
        <w:trPr>
          <w:trHeight w:val="19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19" w:rsidRPr="00CB3158" w:rsidRDefault="00983119" w:rsidP="00801D9D"/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Chars="-28" w:left="1" w:hangingChars="34" w:hanging="68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□已納入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B </w:t>
            </w:r>
          </w:p>
        </w:tc>
      </w:tr>
      <w:tr w:rsidR="00983119" w:rsidRPr="00CB3158" w:rsidTr="00801D9D">
        <w:trPr>
          <w:trHeight w:val="28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I.施工便道優先利用已受干擾環境，並以最小利用為原則。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983119" w:rsidRPr="00CB3158" w:rsidTr="00801D9D">
        <w:trPr>
          <w:trHeight w:val="22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Chars="-28" w:left="1" w:hangingChars="34" w:hanging="68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□已納入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B </w:t>
            </w:r>
          </w:p>
        </w:tc>
      </w:tr>
      <w:tr w:rsidR="00983119" w:rsidRPr="00CB3158" w:rsidTr="00801D9D">
        <w:trPr>
          <w:trHeight w:val="231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="202" w:hangingChars="101" w:hanging="202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J.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防砂固床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設施與河道間落差以最小化為原則，或設置縱向動物通道(含斜坡式、開口式、階梯式設計)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983119" w:rsidRPr="00CB3158" w:rsidTr="00801D9D">
        <w:trPr>
          <w:trHeight w:val="16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="202" w:hangingChars="101" w:hanging="20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Chars="-28" w:left="1" w:hangingChars="34" w:hanging="68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□已納入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C </w:t>
            </w:r>
          </w:p>
        </w:tc>
      </w:tr>
      <w:tr w:rsidR="00983119" w:rsidRPr="00CB3158" w:rsidTr="00801D9D">
        <w:trPr>
          <w:trHeight w:val="240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K.堤防及護岸設置橫向動物通道(含斜坡式、開口式、階梯式設計)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以緩斜坡式通道為優先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983119" w:rsidRPr="00CB3158" w:rsidTr="00801D9D">
        <w:trPr>
          <w:trHeight w:val="270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Chars="-28" w:left="1" w:hangingChars="34" w:hanging="68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□已納入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CB3158">
              <w:rPr>
                <w:rFonts w:ascii="標楷體" w:eastAsia="標楷體" w:hAnsi="標楷體"/>
                <w:sz w:val="20"/>
                <w:szCs w:val="20"/>
                <w:u w:val="single"/>
              </w:rPr>
              <w:t>C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983119" w:rsidRPr="00CB3158" w:rsidTr="00801D9D">
        <w:trPr>
          <w:trHeight w:val="25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L.排水溝、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沉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砂池、靜水池等設置小動物逃脫設施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983119" w:rsidRPr="00CB3158" w:rsidTr="00801D9D">
        <w:trPr>
          <w:trHeight w:val="25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Chars="-28" w:left="1" w:hangingChars="34" w:hanging="68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□已納入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CB3158">
              <w:rPr>
                <w:rFonts w:ascii="標楷體" w:eastAsia="標楷體" w:hAnsi="標楷體"/>
                <w:sz w:val="20"/>
                <w:szCs w:val="20"/>
                <w:u w:val="single"/>
              </w:rPr>
              <w:t>C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983119" w:rsidRPr="00CB3158" w:rsidTr="00801D9D">
        <w:trPr>
          <w:trHeight w:val="28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M.堤防及護岸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通透性或表面粗糙化設計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983119" w:rsidRPr="00CB3158" w:rsidTr="00801D9D">
        <w:trPr>
          <w:trHeight w:val="22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Chars="-28" w:left="1" w:hangingChars="34" w:hanging="68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□已納入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CB3158">
              <w:rPr>
                <w:rFonts w:ascii="標楷體" w:eastAsia="標楷體" w:hAnsi="標楷體"/>
                <w:sz w:val="20"/>
                <w:szCs w:val="20"/>
                <w:u w:val="single"/>
              </w:rPr>
              <w:t>C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983119" w:rsidRPr="00CB3158" w:rsidTr="00801D9D">
        <w:trPr>
          <w:trHeight w:val="19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N.維持常流水、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控制濁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度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如採取低水流路、施工機具材料等與溪水隔離之相關措施</w:t>
            </w:r>
            <w:r w:rsidRPr="00CB3158"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  <w:t>…</w:t>
            </w: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等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983119" w:rsidRPr="00CB3158" w:rsidTr="00801D9D">
        <w:trPr>
          <w:trHeight w:val="165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Chars="-28" w:left="1" w:hangingChars="34" w:hanging="68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□已納入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CB3158">
              <w:rPr>
                <w:rFonts w:ascii="標楷體" w:eastAsia="標楷體" w:hAnsi="標楷體"/>
                <w:sz w:val="20"/>
                <w:szCs w:val="20"/>
                <w:u w:val="single"/>
              </w:rPr>
              <w:t>C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983119" w:rsidRPr="00CB3158" w:rsidTr="00801D9D">
        <w:trPr>
          <w:trHeight w:val="240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O.加速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植生復育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或重建相似生態環境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A6A6A6" w:themeColor="background1" w:themeShade="A6"/>
                <w:sz w:val="20"/>
                <w:szCs w:val="24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如以原開挖面</w:t>
            </w: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30</w:t>
            </w: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公分內表土回填、採用當地原生物種、</w:t>
            </w:r>
            <w:proofErr w:type="gramStart"/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敷蓋稻</w:t>
            </w:r>
            <w:proofErr w:type="gramEnd"/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草蓆</w:t>
            </w:r>
            <w:r w:rsidRPr="00CB3158"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  <w:t>…</w:t>
            </w: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等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983119" w:rsidRPr="00CB3158" w:rsidTr="00801D9D">
        <w:trPr>
          <w:trHeight w:val="270"/>
        </w:trPr>
        <w:tc>
          <w:tcPr>
            <w:tcW w:w="4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2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="186" w:rightChars="-45" w:right="-108" w:hangingChars="93" w:hanging="18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22" w:left="-41" w:hangingChars="6" w:hanging="1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ind w:leftChars="-28" w:left="1" w:hangingChars="34" w:hanging="68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□已納入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CB3158">
              <w:rPr>
                <w:rFonts w:ascii="標楷體" w:eastAsia="標楷體" w:hAnsi="標楷體"/>
                <w:sz w:val="20"/>
                <w:szCs w:val="20"/>
                <w:u w:val="single"/>
              </w:rPr>
              <w:t>D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983119" w:rsidRPr="00CB3158" w:rsidTr="00801D9D">
        <w:trPr>
          <w:trHeight w:val="257"/>
        </w:trPr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P.創新工法或作為</w:t>
            </w:r>
          </w:p>
        </w:tc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17" w:left="-41" w:firstLineChars="37" w:firstLine="74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  </w:t>
            </w:r>
          </w:p>
        </w:tc>
      </w:tr>
      <w:tr w:rsidR="00983119" w:rsidRPr="00CB3158" w:rsidTr="00801D9D">
        <w:trPr>
          <w:trHeight w:val="257"/>
        </w:trPr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Q.其他生態友善措施</w:t>
            </w:r>
          </w:p>
        </w:tc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-17" w:left="-41" w:firstLineChars="37" w:firstLine="74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圖號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  </w:t>
            </w:r>
          </w:p>
        </w:tc>
      </w:tr>
      <w:tr w:rsidR="00983119" w:rsidRPr="00CB3158" w:rsidTr="00801D9D">
        <w:trPr>
          <w:trHeight w:val="463"/>
        </w:trPr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未列入預算書圖原因</w:t>
            </w:r>
          </w:p>
        </w:tc>
        <w:tc>
          <w:tcPr>
            <w:tcW w:w="72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（以上勾選「否」者須填寫本欄）</w:t>
            </w:r>
          </w:p>
        </w:tc>
      </w:tr>
      <w:tr w:rsidR="00983119" w:rsidRPr="00CB3158" w:rsidTr="00801D9D">
        <w:trPr>
          <w:trHeight w:val="494"/>
        </w:trPr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保護效益</w:t>
            </w:r>
          </w:p>
          <w:p w:rsidR="00983119" w:rsidRDefault="00983119" w:rsidP="00801D9D">
            <w:pPr>
              <w:adjustRightInd w:val="0"/>
              <w:snapToGrid w:val="0"/>
              <w:jc w:val="center"/>
              <w:rPr>
                <w:rFonts w:eastAsia="標楷體" w:hAnsi="標楷體"/>
                <w:color w:val="A6A6A6" w:themeColor="background1" w:themeShade="A6"/>
                <w:sz w:val="16"/>
                <w:szCs w:val="16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16"/>
                <w:szCs w:val="16"/>
              </w:rPr>
              <w:t>(</w:t>
            </w:r>
            <w:r w:rsidRPr="00CB3158">
              <w:rPr>
                <w:rFonts w:eastAsia="標楷體" w:hAnsi="標楷體" w:hint="eastAsia"/>
                <w:color w:val="A6A6A6" w:themeColor="background1" w:themeShade="A6"/>
                <w:sz w:val="16"/>
                <w:szCs w:val="16"/>
              </w:rPr>
              <w:t>與一般整流</w:t>
            </w:r>
          </w:p>
          <w:p w:rsidR="00983119" w:rsidRPr="00CB3158" w:rsidRDefault="00983119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CB3158">
              <w:rPr>
                <w:rFonts w:eastAsia="標楷體" w:hAnsi="標楷體" w:hint="eastAsia"/>
                <w:color w:val="A6A6A6" w:themeColor="background1" w:themeShade="A6"/>
                <w:sz w:val="16"/>
                <w:szCs w:val="16"/>
              </w:rPr>
              <w:t>工程比較</w:t>
            </w:r>
            <w:r w:rsidRPr="00CB3158">
              <w:rPr>
                <w:rFonts w:eastAsia="標楷體" w:hAnsi="標楷體" w:hint="eastAsia"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72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保留原本陸域水域環境○M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vertAlign w:val="superscript"/>
              </w:rPr>
              <w:t>2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、巨石○顆、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樹島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○座、大樹○棵、岩盤○處、文物○處、常流水○處，設置縱橫向動物通道及逃脫設施○處、護岸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採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通透性或粗糙化設計○M，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植生復育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○M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vertAlign w:val="superscript"/>
              </w:rPr>
              <w:t>2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</w:rPr>
              <w:t>、棲地營造○處，其他：</w:t>
            </w:r>
            <w:r w:rsidRPr="00CB3158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    </w:t>
            </w:r>
          </w:p>
        </w:tc>
      </w:tr>
      <w:tr w:rsidR="00983119" w:rsidRPr="00CB3158" w:rsidTr="00801D9D">
        <w:trPr>
          <w:trHeight w:val="136"/>
        </w:trPr>
        <w:tc>
          <w:tcPr>
            <w:tcW w:w="87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ind w:leftChars="8" w:left="585" w:hangingChars="283" w:hanging="566"/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  <w:r w:rsidRPr="00CB3158">
              <w:rPr>
                <w:rFonts w:ascii="Times New Roman" w:eastAsia="標楷體" w:hAnsi="標楷體"/>
                <w:sz w:val="20"/>
                <w:szCs w:val="20"/>
              </w:rPr>
              <w:t>備註：</w:t>
            </w:r>
          </w:p>
          <w:p w:rsidR="00983119" w:rsidRPr="00CB3158" w:rsidRDefault="00983119" w:rsidP="00801D9D">
            <w:pPr>
              <w:adjustRightInd w:val="0"/>
              <w:snapToGrid w:val="0"/>
              <w:ind w:leftChars="8" w:left="217" w:hangingChars="99" w:hanging="1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1.本表由設計人員填寫，</w:t>
            </w:r>
            <w:r w:rsidRPr="006A6335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隨基本設計及預算書圖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</w:t>
            </w:r>
            <w:r w:rsidRPr="006A6335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合併生態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團隊須提</w:t>
            </w:r>
            <w:r w:rsidRPr="006A6335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表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單)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送工程執行機關審查。</w:t>
            </w:r>
          </w:p>
          <w:p w:rsidR="00983119" w:rsidRPr="00CB3158" w:rsidRDefault="00983119" w:rsidP="00801D9D">
            <w:pPr>
              <w:adjustRightInd w:val="0"/>
              <w:snapToGrid w:val="0"/>
              <w:ind w:leftChars="8" w:left="585" w:hangingChars="283" w:hanging="566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2.本表之填報請以工區為單元，每一工區需填寫一張表單。</w:t>
            </w:r>
          </w:p>
        </w:tc>
      </w:tr>
    </w:tbl>
    <w:p w:rsidR="00983119" w:rsidRPr="00CB3158" w:rsidRDefault="00983119" w:rsidP="00983119">
      <w:pPr>
        <w:adjustRightInd w:val="0"/>
        <w:snapToGrid w:val="0"/>
        <w:ind w:leftChars="-1" w:left="-2"/>
        <w:rPr>
          <w:rFonts w:ascii="標楷體" w:eastAsia="標楷體" w:hAnsi="標楷體"/>
          <w:szCs w:val="24"/>
        </w:rPr>
      </w:pPr>
      <w:r w:rsidRPr="00CB3158">
        <w:rPr>
          <w:rFonts w:ascii="標楷體" w:eastAsia="標楷體" w:hAnsi="標楷體" w:hint="eastAsia"/>
          <w:szCs w:val="24"/>
        </w:rPr>
        <w:t>設計人員簽名：                                提交日期：</w:t>
      </w:r>
    </w:p>
    <w:p w:rsidR="00983119" w:rsidRPr="00CB3158" w:rsidRDefault="00983119" w:rsidP="00983119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983119" w:rsidRPr="00CB3158" w:rsidRDefault="00983119" w:rsidP="00983119">
      <w:pPr>
        <w:jc w:val="both"/>
        <w:rPr>
          <w:rFonts w:eastAsia="標楷體" w:hAnsi="標楷體"/>
          <w:color w:val="A6A6A6" w:themeColor="background1" w:themeShade="A6"/>
          <w:szCs w:val="24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 w:hint="eastAsia"/>
          <w:szCs w:val="24"/>
        </w:rPr>
        <w:t>工程平面圖</w:t>
      </w:r>
      <w:r w:rsidRPr="00CB3158">
        <w:rPr>
          <w:rFonts w:eastAsia="標楷體" w:hAnsi="標楷體" w:hint="eastAsia"/>
          <w:color w:val="A6A6A6" w:themeColor="background1" w:themeShade="A6"/>
          <w:sz w:val="20"/>
          <w:szCs w:val="20"/>
        </w:rPr>
        <w:t>（請標示工區範圍、施工便道路線、生態保護對象、友善措施位置或範圍）</w:t>
      </w:r>
    </w:p>
    <w:tbl>
      <w:tblPr>
        <w:tblStyle w:val="a3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8421"/>
      </w:tblGrid>
      <w:tr w:rsidR="00983119" w:rsidRPr="00CB3158" w:rsidTr="00801D9D">
        <w:trPr>
          <w:trHeight w:val="3823"/>
        </w:trPr>
        <w:tc>
          <w:tcPr>
            <w:tcW w:w="8421" w:type="dxa"/>
          </w:tcPr>
          <w:p w:rsidR="00983119" w:rsidRPr="00951FCB" w:rsidRDefault="009831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</w:tbl>
    <w:p w:rsidR="00983119" w:rsidRPr="00CB3158" w:rsidRDefault="00983119" w:rsidP="00983119">
      <w:pPr>
        <w:jc w:val="both"/>
        <w:rPr>
          <w:rFonts w:eastAsia="標楷體" w:hAnsi="標楷體"/>
          <w:szCs w:val="24"/>
        </w:rPr>
      </w:pPr>
    </w:p>
    <w:p w:rsidR="00983119" w:rsidRPr="00CB3158" w:rsidRDefault="00983119" w:rsidP="00983119">
      <w:pPr>
        <w:jc w:val="both"/>
        <w:rPr>
          <w:rFonts w:eastAsia="標楷體" w:hAnsi="標楷體"/>
          <w:color w:val="A6A6A6" w:themeColor="background1" w:themeShade="A6"/>
          <w:szCs w:val="24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 w:hint="eastAsia"/>
          <w:szCs w:val="24"/>
        </w:rPr>
        <w:t>生態保護對象照片</w:t>
      </w:r>
      <w:r w:rsidRPr="00CB3158">
        <w:rPr>
          <w:rFonts w:ascii="標楷體" w:eastAsia="標楷體" w:hAnsi="標楷體" w:hint="eastAsia"/>
          <w:color w:val="A6A6A6" w:themeColor="background1" w:themeShade="A6"/>
          <w:szCs w:val="24"/>
        </w:rPr>
        <w:t>(以特寫與全景照紀錄，欄位不足時，請自行增加附頁</w:t>
      </w:r>
      <w:proofErr w:type="gramStart"/>
      <w:r w:rsidRPr="00CB3158">
        <w:rPr>
          <w:rFonts w:ascii="標楷體" w:eastAsia="標楷體" w:hAnsi="標楷體" w:hint="eastAsia"/>
          <w:color w:val="A6A6A6" w:themeColor="background1" w:themeShade="A6"/>
          <w:szCs w:val="24"/>
        </w:rPr>
        <w:t>）</w:t>
      </w:r>
      <w:proofErr w:type="gramEnd"/>
    </w:p>
    <w:tbl>
      <w:tblPr>
        <w:tblStyle w:val="a3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4211"/>
        <w:gridCol w:w="4211"/>
      </w:tblGrid>
      <w:tr w:rsidR="00983119" w:rsidRPr="00CB3158" w:rsidTr="00801D9D">
        <w:trPr>
          <w:trHeight w:val="2536"/>
        </w:trPr>
        <w:tc>
          <w:tcPr>
            <w:tcW w:w="4211" w:type="dxa"/>
            <w:vAlign w:val="center"/>
          </w:tcPr>
          <w:p w:rsidR="00983119" w:rsidRPr="00CB3158" w:rsidRDefault="009831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11" w:type="dxa"/>
            <w:vAlign w:val="center"/>
          </w:tcPr>
          <w:p w:rsidR="00983119" w:rsidRPr="00CB3158" w:rsidRDefault="009831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983119" w:rsidRPr="00CB3158" w:rsidTr="00801D9D">
        <w:trPr>
          <w:trHeight w:val="463"/>
        </w:trPr>
        <w:tc>
          <w:tcPr>
            <w:tcW w:w="4211" w:type="dxa"/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11" w:type="dxa"/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983119" w:rsidRPr="00CB3158" w:rsidTr="00801D9D">
        <w:trPr>
          <w:trHeight w:val="2438"/>
        </w:trPr>
        <w:tc>
          <w:tcPr>
            <w:tcW w:w="4211" w:type="dxa"/>
            <w:vAlign w:val="center"/>
          </w:tcPr>
          <w:p w:rsidR="00983119" w:rsidRPr="00CB3158" w:rsidRDefault="009831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11" w:type="dxa"/>
            <w:vAlign w:val="center"/>
          </w:tcPr>
          <w:p w:rsidR="00983119" w:rsidRPr="00CB3158" w:rsidRDefault="00983119" w:rsidP="00801D9D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983119" w:rsidRPr="00CB3158" w:rsidTr="00801D9D">
        <w:trPr>
          <w:trHeight w:val="463"/>
        </w:trPr>
        <w:tc>
          <w:tcPr>
            <w:tcW w:w="4211" w:type="dxa"/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11" w:type="dxa"/>
            <w:vAlign w:val="center"/>
          </w:tcPr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983119" w:rsidRPr="00CB3158" w:rsidRDefault="00983119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</w:tbl>
    <w:p w:rsidR="00722B01" w:rsidRDefault="00722B01"/>
    <w:sectPr w:rsidR="00722B01" w:rsidSect="00983119">
      <w:headerReference w:type="default" r:id="rId6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DF" w:rsidRDefault="00F14DDF" w:rsidP="00227A74">
      <w:r>
        <w:separator/>
      </w:r>
    </w:p>
  </w:endnote>
  <w:endnote w:type="continuationSeparator" w:id="0">
    <w:p w:rsidR="00F14DDF" w:rsidRDefault="00F14DDF" w:rsidP="0022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DF" w:rsidRDefault="00F14DDF" w:rsidP="00227A74">
      <w:r>
        <w:separator/>
      </w:r>
    </w:p>
  </w:footnote>
  <w:footnote w:type="continuationSeparator" w:id="0">
    <w:p w:rsidR="00F14DDF" w:rsidRDefault="00F14DDF" w:rsidP="0022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74" w:rsidRPr="00227A74" w:rsidRDefault="00227A74">
    <w:pPr>
      <w:pStyle w:val="a4"/>
      <w:rPr>
        <w:rFonts w:ascii="標楷體" w:eastAsia="標楷體" w:hAnsi="標楷體"/>
        <w:b/>
        <w:sz w:val="24"/>
      </w:rPr>
    </w:pPr>
    <w:r w:rsidRPr="00CB3158">
      <w:rPr>
        <w:rFonts w:ascii="標楷體" w:eastAsia="標楷體" w:hAnsi="標楷體" w:hint="eastAsia"/>
      </w:rPr>
      <w:t>SWCB-11015-03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proofErr w:type="gramStart"/>
    <w:r w:rsidR="0095139B">
      <w:rPr>
        <w:rFonts w:ascii="標楷體" w:eastAsia="標楷體" w:hAnsi="標楷體" w:hint="eastAsia"/>
        <w:b/>
        <w:sz w:val="24"/>
      </w:rPr>
      <w:t>臺</w:t>
    </w:r>
    <w:proofErr w:type="gramEnd"/>
    <w:r w:rsidR="0095139B">
      <w:rPr>
        <w:rFonts w:ascii="標楷體" w:eastAsia="標楷體" w:hAnsi="標楷體" w:hint="eastAsia"/>
        <w:b/>
        <w:sz w:val="24"/>
      </w:rPr>
      <w:t>中分署202</w:t>
    </w:r>
    <w:r w:rsidR="0095139B">
      <w:rPr>
        <w:rFonts w:ascii="標楷體" w:eastAsia="標楷體" w:hAnsi="標楷體"/>
        <w:b/>
        <w:sz w:val="24"/>
      </w:rPr>
      <w:t>30605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19"/>
    <w:rsid w:val="00227A74"/>
    <w:rsid w:val="00722B01"/>
    <w:rsid w:val="0095139B"/>
    <w:rsid w:val="00983119"/>
    <w:rsid w:val="00F1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2511"/>
  <w15:chartTrackingRefBased/>
  <w15:docId w15:val="{AA0C71CF-EFB9-43EB-9345-3BC34285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7A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7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7A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1733</Characters>
  <Application>Microsoft Office Word</Application>
  <DocSecurity>0</DocSecurity>
  <Lines>14</Lines>
  <Paragraphs>4</Paragraphs>
  <ScaleCrop>false</ScaleCrop>
  <Company>SWCB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陳鍵鑫</dc:creator>
  <cp:keywords/>
  <dc:description/>
  <cp:lastModifiedBy>USER</cp:lastModifiedBy>
  <cp:revision>3</cp:revision>
  <dcterms:created xsi:type="dcterms:W3CDTF">2022-11-08T03:35:00Z</dcterms:created>
  <dcterms:modified xsi:type="dcterms:W3CDTF">2023-05-30T14:37:00Z</dcterms:modified>
</cp:coreProperties>
</file>